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9F8A81" w14:textId="533BC858" w:rsidR="00F8148B" w:rsidRDefault="00F8148B" w:rsidP="00F8148B">
      <w:pPr>
        <w:spacing w:after="0"/>
        <w:jc w:val="center"/>
        <w:rPr>
          <w:b/>
          <w:bCs/>
          <w:sz w:val="28"/>
        </w:rPr>
      </w:pPr>
      <w:r w:rsidRPr="00F8148B">
        <w:rPr>
          <w:b/>
          <w:bCs/>
          <w:sz w:val="28"/>
        </w:rPr>
        <w:t>Myoepithelial and immune cell dynamics in the mammary</w:t>
      </w:r>
      <w:r>
        <w:rPr>
          <w:b/>
          <w:bCs/>
          <w:sz w:val="28"/>
        </w:rPr>
        <w:t xml:space="preserve"> </w:t>
      </w:r>
      <w:r w:rsidRPr="00F8148B">
        <w:rPr>
          <w:b/>
          <w:bCs/>
          <w:sz w:val="28"/>
        </w:rPr>
        <w:t>terminal duct lobular unit during postnatal development</w:t>
      </w:r>
    </w:p>
    <w:p w14:paraId="5BCB41EB" w14:textId="77777777" w:rsidR="00F8148B" w:rsidRDefault="00F8148B" w:rsidP="00D50207">
      <w:pPr>
        <w:spacing w:after="0"/>
        <w:ind w:left="1701"/>
        <w:rPr>
          <w:b/>
          <w:bCs/>
          <w:sz w:val="28"/>
        </w:rPr>
      </w:pPr>
    </w:p>
    <w:p w14:paraId="006F3D43" w14:textId="77777777" w:rsidR="00F8148B" w:rsidRDefault="00330C2F" w:rsidP="00F8148B">
      <w:pPr>
        <w:spacing w:after="0" w:line="240" w:lineRule="auto"/>
        <w:rPr>
          <w:b/>
        </w:rPr>
      </w:pPr>
      <w:r w:rsidRPr="00330C2F">
        <w:rPr>
          <w:b/>
        </w:rPr>
        <w:t>Supervisor:</w:t>
      </w:r>
      <w:r w:rsidRPr="00330C2F">
        <w:rPr>
          <w:b/>
        </w:rPr>
        <w:tab/>
      </w:r>
      <w:r w:rsidR="00F8148B">
        <w:rPr>
          <w:b/>
        </w:rPr>
        <w:t>Dr Kate Hughes</w:t>
      </w:r>
    </w:p>
    <w:p w14:paraId="34E73DA6" w14:textId="07C3DFD9" w:rsidR="00330C2F" w:rsidRDefault="00F8148B" w:rsidP="00F8148B">
      <w:pPr>
        <w:spacing w:after="0" w:line="240" w:lineRule="auto"/>
        <w:rPr>
          <w:b/>
        </w:rPr>
      </w:pPr>
      <w:r>
        <w:rPr>
          <w:b/>
        </w:rPr>
        <w:t>Co-Supervisor</w:t>
      </w:r>
      <w:r w:rsidR="003B5C40">
        <w:rPr>
          <w:b/>
        </w:rPr>
        <w:t>:</w:t>
      </w:r>
      <w:r w:rsidR="003B5C40">
        <w:rPr>
          <w:b/>
        </w:rPr>
        <w:tab/>
      </w:r>
      <w:r>
        <w:rPr>
          <w:b/>
        </w:rPr>
        <w:t>Prof Clare Bryant</w:t>
      </w:r>
    </w:p>
    <w:p w14:paraId="1AB365C3" w14:textId="5917E6BD" w:rsidR="00F8148B" w:rsidRPr="00330C2F" w:rsidRDefault="00F8148B" w:rsidP="00F8148B">
      <w:pPr>
        <w:spacing w:line="240" w:lineRule="auto"/>
        <w:rPr>
          <w:b/>
        </w:rPr>
      </w:pPr>
      <w:r>
        <w:rPr>
          <w:b/>
        </w:rPr>
        <w:t xml:space="preserve">Institution: </w:t>
      </w:r>
      <w:r>
        <w:rPr>
          <w:b/>
        </w:rPr>
        <w:tab/>
        <w:t>University of Cambridge</w:t>
      </w:r>
    </w:p>
    <w:p w14:paraId="0835D009" w14:textId="77777777" w:rsidR="00F8148B" w:rsidRDefault="00F8148B" w:rsidP="00A41C6B">
      <w:pPr>
        <w:spacing w:after="0"/>
        <w:rPr>
          <w:b/>
          <w:bCs/>
        </w:rPr>
      </w:pPr>
    </w:p>
    <w:p w14:paraId="075E8EDF" w14:textId="2B259F96" w:rsidR="00F8148B" w:rsidRPr="00F8148B" w:rsidRDefault="00F8148B" w:rsidP="00F8148B">
      <w:pPr>
        <w:spacing w:after="0"/>
        <w:jc w:val="both"/>
        <w:rPr>
          <w:b/>
          <w:bCs/>
        </w:rPr>
      </w:pPr>
      <w:r w:rsidRPr="00F8148B">
        <w:t xml:space="preserve">Within the </w:t>
      </w:r>
      <w:proofErr w:type="spellStart"/>
      <w:r w:rsidRPr="00F8148B">
        <w:t>bilayered</w:t>
      </w:r>
      <w:proofErr w:type="spellEnd"/>
      <w:r w:rsidRPr="00F8148B">
        <w:t xml:space="preserve"> structure of the mammary gland, myoepithelial cells form the basal epithelial layer, express alpha-smooth muscle actin, and have contractile properties necessary for milk expulsion. Myoepithelial cells are recognised to be of significance in the progression of both mammary neoplasms and mastitis. However, in spite of their critical role in milk expulsion, and the importance of myoepithelial cells in </w:t>
      </w:r>
      <w:r>
        <w:t>mammary pathological processes</w:t>
      </w:r>
      <w:r w:rsidRPr="00F8148B">
        <w:t xml:space="preserve">, very little is known about the contribution of </w:t>
      </w:r>
      <w:r w:rsidRPr="00F8148B">
        <w:t>this cellular compartment</w:t>
      </w:r>
      <w:r w:rsidRPr="00F8148B">
        <w:t xml:space="preserve"> to the postnatal cycle of mammary development and remodelling associated with puberty, pregnancy, lactation, and post-lactational regression. </w:t>
      </w:r>
      <w:r w:rsidRPr="00F8148B">
        <w:rPr>
          <w:b/>
          <w:bCs/>
        </w:rPr>
        <w:t>This project will elucidate the role and cellular interactions of myoepithelial cells in the mammary microenvironment in health.</w:t>
      </w:r>
    </w:p>
    <w:p w14:paraId="5E36E7C5" w14:textId="77777777" w:rsidR="00F8148B" w:rsidRPr="00F8148B" w:rsidRDefault="00F8148B" w:rsidP="00F8148B">
      <w:pPr>
        <w:spacing w:after="0"/>
        <w:jc w:val="both"/>
      </w:pPr>
    </w:p>
    <w:p w14:paraId="72636410" w14:textId="519BB9E2" w:rsidR="00F8148B" w:rsidRPr="00F8148B" w:rsidRDefault="00F8148B" w:rsidP="00F8148B">
      <w:pPr>
        <w:spacing w:after="0"/>
        <w:jc w:val="both"/>
      </w:pPr>
      <w:r w:rsidRPr="00F8148B">
        <w:t xml:space="preserve">By defining the periods during which myoepithelial cells are dividing, the relationship of myoepithelial cells with immune cells, and the impact of hormones and growth factors on myoepithelial cell behaviour, the project will provide a deeper understanding of the role of the mammary basal epithelial compartment. </w:t>
      </w:r>
      <w:r w:rsidRPr="00F8148B">
        <w:rPr>
          <w:b/>
          <w:bCs/>
        </w:rPr>
        <w:t>This data will facilitate future identification of functions and interactions of myoepithelial cells that can be used in translational medicine to develop novel therapeutic strategies for mastitis and mammary neoplasia.</w:t>
      </w:r>
    </w:p>
    <w:p w14:paraId="6A02AC27" w14:textId="77777777" w:rsidR="00F8148B" w:rsidRPr="00F8148B" w:rsidRDefault="00F8148B" w:rsidP="00F8148B">
      <w:pPr>
        <w:spacing w:after="0"/>
        <w:jc w:val="both"/>
      </w:pPr>
    </w:p>
    <w:p w14:paraId="03933534" w14:textId="700FE0A1" w:rsidR="00F8148B" w:rsidRDefault="00F8148B" w:rsidP="00F8148B">
      <w:pPr>
        <w:spacing w:after="0"/>
        <w:jc w:val="both"/>
      </w:pPr>
      <w:r w:rsidRPr="00F8148B">
        <w:t xml:space="preserve">This research will </w:t>
      </w:r>
      <w:r>
        <w:t xml:space="preserve">also seek to </w:t>
      </w:r>
      <w:r w:rsidRPr="00F8148B">
        <w:rPr>
          <w:b/>
          <w:bCs/>
        </w:rPr>
        <w:t>define the mammary microenvironment in non-traditional model species that are promising alternative models to rodents</w:t>
      </w:r>
      <w:r w:rsidRPr="00F8148B">
        <w:t xml:space="preserve">. Whilst rodents provide highly tractable model systems, the mouse mammary gland is fundamentally different from the human breast. This project will exploit the similarities between </w:t>
      </w:r>
      <w:r>
        <w:t>the</w:t>
      </w:r>
      <w:r w:rsidRPr="00F8148B">
        <w:t xml:space="preserve"> mammary gland </w:t>
      </w:r>
      <w:r>
        <w:t xml:space="preserve">of non-traditional model species </w:t>
      </w:r>
      <w:r w:rsidRPr="00F8148B">
        <w:t xml:space="preserve">and the human breast to delineate the replication patterns, cellular interactions, and role of myoepithelial cells in </w:t>
      </w:r>
      <w:r>
        <w:t>these species</w:t>
      </w:r>
      <w:r w:rsidRPr="00F8148B">
        <w:t>.</w:t>
      </w:r>
    </w:p>
    <w:p w14:paraId="510FF8C9" w14:textId="5D58740A" w:rsidR="00601D9B" w:rsidRPr="00F8148B" w:rsidRDefault="004021D7" w:rsidP="00F8148B">
      <w:pPr>
        <w:spacing w:after="0"/>
        <w:jc w:val="both"/>
      </w:pPr>
      <w:r>
        <w:rPr>
          <w:noProof/>
        </w:rPr>
        <w:drawing>
          <wp:anchor distT="0" distB="0" distL="114300" distR="114300" simplePos="0" relativeHeight="251659264" behindDoc="0" locked="0" layoutInCell="1" allowOverlap="1" wp14:anchorId="418D240A" wp14:editId="25689719">
            <wp:simplePos x="0" y="0"/>
            <wp:positionH relativeFrom="margin">
              <wp:posOffset>-635</wp:posOffset>
            </wp:positionH>
            <wp:positionV relativeFrom="paragraph">
              <wp:posOffset>191770</wp:posOffset>
            </wp:positionV>
            <wp:extent cx="3208655" cy="24098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320865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E59A6D" w14:textId="77777777" w:rsidR="009D7517" w:rsidRDefault="009D7517" w:rsidP="004021D7">
      <w:pPr>
        <w:spacing w:after="0"/>
        <w:jc w:val="both"/>
        <w:rPr>
          <w:b/>
          <w:bCs/>
        </w:rPr>
      </w:pPr>
    </w:p>
    <w:p w14:paraId="5ECA3AFF" w14:textId="77777777" w:rsidR="009D7517" w:rsidRDefault="009D7517" w:rsidP="004021D7">
      <w:pPr>
        <w:spacing w:after="0"/>
        <w:jc w:val="both"/>
        <w:rPr>
          <w:b/>
          <w:bCs/>
        </w:rPr>
      </w:pPr>
    </w:p>
    <w:p w14:paraId="78556048" w14:textId="1961FA40" w:rsidR="004021D7" w:rsidRDefault="004021D7" w:rsidP="004021D7">
      <w:pPr>
        <w:spacing w:after="0"/>
        <w:jc w:val="both"/>
        <w:rPr>
          <w:b/>
          <w:bCs/>
        </w:rPr>
      </w:pPr>
      <w:r>
        <w:rPr>
          <w:b/>
          <w:bCs/>
        </w:rPr>
        <w:t xml:space="preserve">Immunofluorescence staining </w:t>
      </w:r>
      <w:r w:rsidR="009D7517">
        <w:rPr>
          <w:b/>
          <w:bCs/>
        </w:rPr>
        <w:t>can be</w:t>
      </w:r>
      <w:r>
        <w:rPr>
          <w:b/>
          <w:bCs/>
        </w:rPr>
        <w:t xml:space="preserve"> used to delineate the myoepithelial compartment</w:t>
      </w:r>
      <w:r w:rsidR="009D7517">
        <w:rPr>
          <w:b/>
          <w:bCs/>
        </w:rPr>
        <w:t>. N</w:t>
      </w:r>
      <w:r>
        <w:rPr>
          <w:b/>
          <w:bCs/>
        </w:rPr>
        <w:t>eonatal lamb mammary gland.</w:t>
      </w:r>
      <w:r w:rsidR="009D7517" w:rsidRPr="009D7517">
        <w:rPr>
          <w:b/>
          <w:bCs/>
        </w:rPr>
        <w:t xml:space="preserve"> </w:t>
      </w:r>
      <w:r w:rsidR="009D7517">
        <w:rPr>
          <w:b/>
          <w:bCs/>
        </w:rPr>
        <w:t>A</w:t>
      </w:r>
      <w:r w:rsidR="009D7517">
        <w:rPr>
          <w:b/>
          <w:bCs/>
        </w:rPr>
        <w:t>lpha smooth muscle actin (cyan)</w:t>
      </w:r>
      <w:r w:rsidR="009D7517">
        <w:rPr>
          <w:b/>
          <w:bCs/>
        </w:rPr>
        <w:t>; n</w:t>
      </w:r>
      <w:r w:rsidR="009D7517" w:rsidRPr="009D7517">
        <w:rPr>
          <w:b/>
          <w:bCs/>
        </w:rPr>
        <w:t>uclei (DAPI; magenta)</w:t>
      </w:r>
      <w:r w:rsidR="009D7517">
        <w:rPr>
          <w:b/>
          <w:bCs/>
        </w:rPr>
        <w:t>.</w:t>
      </w:r>
    </w:p>
    <w:p w14:paraId="0C2D30B0" w14:textId="31392536" w:rsidR="00F8148B" w:rsidRDefault="004021D7" w:rsidP="004021D7">
      <w:pPr>
        <w:spacing w:after="0"/>
        <w:jc w:val="both"/>
        <w:rPr>
          <w:b/>
          <w:bCs/>
        </w:rPr>
      </w:pPr>
      <w:r>
        <w:rPr>
          <w:b/>
          <w:bCs/>
        </w:rPr>
        <w:lastRenderedPageBreak/>
        <w:br w:type="textWrapping" w:clear="all"/>
      </w:r>
    </w:p>
    <w:p w14:paraId="04E36CE6" w14:textId="1F87F976" w:rsidR="00F8148B" w:rsidRDefault="004021D7" w:rsidP="00A41C6B">
      <w:pPr>
        <w:spacing w:after="0"/>
        <w:rPr>
          <w:b/>
          <w:bCs/>
        </w:rPr>
      </w:pPr>
      <w:r>
        <w:rPr>
          <w:noProof/>
        </w:rPr>
        <w:drawing>
          <wp:anchor distT="0" distB="0" distL="114300" distR="114300" simplePos="0" relativeHeight="251658240" behindDoc="1" locked="0" layoutInCell="1" allowOverlap="1" wp14:anchorId="4D822D48" wp14:editId="5B2A40EE">
            <wp:simplePos x="0" y="0"/>
            <wp:positionH relativeFrom="margin">
              <wp:align>left</wp:align>
            </wp:positionH>
            <wp:positionV relativeFrom="paragraph">
              <wp:posOffset>270510</wp:posOffset>
            </wp:positionV>
            <wp:extent cx="3706481" cy="2390775"/>
            <wp:effectExtent l="0" t="0" r="8890" b="0"/>
            <wp:wrapTight wrapText="bothSides">
              <wp:wrapPolygon edited="0">
                <wp:start x="0" y="0"/>
                <wp:lineTo x="0" y="21342"/>
                <wp:lineTo x="21541" y="21342"/>
                <wp:lineTo x="215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6481" cy="2390775"/>
                    </a:xfrm>
                    <a:prstGeom prst="rect">
                      <a:avLst/>
                    </a:prstGeom>
                    <a:noFill/>
                    <a:ln>
                      <a:noFill/>
                    </a:ln>
                  </pic:spPr>
                </pic:pic>
              </a:graphicData>
            </a:graphic>
          </wp:anchor>
        </w:drawing>
      </w:r>
    </w:p>
    <w:p w14:paraId="06ABCDA3" w14:textId="77777777" w:rsidR="009D7517" w:rsidRDefault="009D7517" w:rsidP="009D7517"/>
    <w:p w14:paraId="3E79F324" w14:textId="0F4628FF" w:rsidR="009D7517" w:rsidRPr="009D7517" w:rsidRDefault="009D7517" w:rsidP="009D7517">
      <w:pPr>
        <w:jc w:val="both"/>
        <w:rPr>
          <w:b/>
          <w:bCs/>
        </w:rPr>
      </w:pPr>
      <w:r w:rsidRPr="009D7517">
        <w:rPr>
          <w:b/>
          <w:bCs/>
        </w:rPr>
        <w:t>3D confocal</w:t>
      </w:r>
      <w:r w:rsidRPr="009D7517">
        <w:rPr>
          <w:b/>
          <w:bCs/>
        </w:rPr>
        <w:t xml:space="preserve"> </w:t>
      </w:r>
      <w:r w:rsidRPr="009D7517">
        <w:rPr>
          <w:b/>
          <w:bCs/>
        </w:rPr>
        <w:t>microscopy of</w:t>
      </w:r>
      <w:r w:rsidRPr="009D7517">
        <w:rPr>
          <w:b/>
          <w:bCs/>
        </w:rPr>
        <w:t xml:space="preserve"> </w:t>
      </w:r>
      <w:r w:rsidRPr="009D7517">
        <w:rPr>
          <w:b/>
          <w:bCs/>
        </w:rPr>
        <w:t xml:space="preserve">optically cleared ovine mammary tissue with </w:t>
      </w:r>
      <w:r w:rsidRPr="009D7517">
        <w:rPr>
          <w:b/>
          <w:bCs/>
        </w:rPr>
        <w:t>immunofluorescence for a macrophage marker (green);</w:t>
      </w:r>
      <w:r w:rsidRPr="009D7517">
        <w:rPr>
          <w:b/>
          <w:bCs/>
        </w:rPr>
        <w:t xml:space="preserve"> </w:t>
      </w:r>
      <w:r w:rsidRPr="009D7517">
        <w:rPr>
          <w:b/>
          <w:bCs/>
        </w:rPr>
        <w:t>E-cadherin (red</w:t>
      </w:r>
      <w:r w:rsidRPr="009D7517">
        <w:rPr>
          <w:b/>
          <w:bCs/>
        </w:rPr>
        <w:t xml:space="preserve">) and </w:t>
      </w:r>
      <w:r w:rsidRPr="009D7517">
        <w:rPr>
          <w:b/>
          <w:bCs/>
        </w:rPr>
        <w:t>nuclei</w:t>
      </w:r>
      <w:r w:rsidRPr="009D7517">
        <w:rPr>
          <w:b/>
          <w:bCs/>
        </w:rPr>
        <w:t xml:space="preserve"> (</w:t>
      </w:r>
      <w:r w:rsidRPr="009D7517">
        <w:rPr>
          <w:b/>
          <w:bCs/>
        </w:rPr>
        <w:t>DAPI; blue</w:t>
      </w:r>
      <w:r w:rsidRPr="009D7517">
        <w:rPr>
          <w:b/>
          <w:bCs/>
        </w:rPr>
        <w:t>). Image represent</w:t>
      </w:r>
      <w:r w:rsidRPr="009D7517">
        <w:rPr>
          <w:b/>
          <w:bCs/>
        </w:rPr>
        <w:t>s</w:t>
      </w:r>
      <w:r w:rsidRPr="009D7517">
        <w:rPr>
          <w:b/>
          <w:bCs/>
        </w:rPr>
        <w:t xml:space="preserve"> 3D</w:t>
      </w:r>
      <w:r w:rsidRPr="009D7517">
        <w:rPr>
          <w:b/>
          <w:bCs/>
        </w:rPr>
        <w:t xml:space="preserve"> </w:t>
      </w:r>
      <w:r w:rsidRPr="009D7517">
        <w:rPr>
          <w:b/>
          <w:bCs/>
        </w:rPr>
        <w:t>maximum intensity projection.</w:t>
      </w:r>
    </w:p>
    <w:sectPr w:rsidR="009D7517" w:rsidRPr="009D7517" w:rsidSect="001606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DB2707"/>
    <w:multiLevelType w:val="hybridMultilevel"/>
    <w:tmpl w:val="C2E087F2"/>
    <w:lvl w:ilvl="0" w:tplc="DAF6A1A6">
      <w:start w:val="1"/>
      <w:numFmt w:val="bullet"/>
      <w:lvlText w:val="•"/>
      <w:lvlJc w:val="left"/>
      <w:pPr>
        <w:tabs>
          <w:tab w:val="num" w:pos="720"/>
        </w:tabs>
        <w:ind w:left="720" w:hanging="360"/>
      </w:pPr>
      <w:rPr>
        <w:rFonts w:ascii="Arial" w:hAnsi="Arial" w:hint="default"/>
      </w:rPr>
    </w:lvl>
    <w:lvl w:ilvl="1" w:tplc="05B0A262" w:tentative="1">
      <w:start w:val="1"/>
      <w:numFmt w:val="bullet"/>
      <w:lvlText w:val="•"/>
      <w:lvlJc w:val="left"/>
      <w:pPr>
        <w:tabs>
          <w:tab w:val="num" w:pos="1440"/>
        </w:tabs>
        <w:ind w:left="1440" w:hanging="360"/>
      </w:pPr>
      <w:rPr>
        <w:rFonts w:ascii="Arial" w:hAnsi="Arial" w:hint="default"/>
      </w:rPr>
    </w:lvl>
    <w:lvl w:ilvl="2" w:tplc="F2F8CAA0" w:tentative="1">
      <w:start w:val="1"/>
      <w:numFmt w:val="bullet"/>
      <w:lvlText w:val="•"/>
      <w:lvlJc w:val="left"/>
      <w:pPr>
        <w:tabs>
          <w:tab w:val="num" w:pos="2160"/>
        </w:tabs>
        <w:ind w:left="2160" w:hanging="360"/>
      </w:pPr>
      <w:rPr>
        <w:rFonts w:ascii="Arial" w:hAnsi="Arial" w:hint="default"/>
      </w:rPr>
    </w:lvl>
    <w:lvl w:ilvl="3" w:tplc="D212BBF2" w:tentative="1">
      <w:start w:val="1"/>
      <w:numFmt w:val="bullet"/>
      <w:lvlText w:val="•"/>
      <w:lvlJc w:val="left"/>
      <w:pPr>
        <w:tabs>
          <w:tab w:val="num" w:pos="2880"/>
        </w:tabs>
        <w:ind w:left="2880" w:hanging="360"/>
      </w:pPr>
      <w:rPr>
        <w:rFonts w:ascii="Arial" w:hAnsi="Arial" w:hint="default"/>
      </w:rPr>
    </w:lvl>
    <w:lvl w:ilvl="4" w:tplc="D782235E" w:tentative="1">
      <w:start w:val="1"/>
      <w:numFmt w:val="bullet"/>
      <w:lvlText w:val="•"/>
      <w:lvlJc w:val="left"/>
      <w:pPr>
        <w:tabs>
          <w:tab w:val="num" w:pos="3600"/>
        </w:tabs>
        <w:ind w:left="3600" w:hanging="360"/>
      </w:pPr>
      <w:rPr>
        <w:rFonts w:ascii="Arial" w:hAnsi="Arial" w:hint="default"/>
      </w:rPr>
    </w:lvl>
    <w:lvl w:ilvl="5" w:tplc="222C6002" w:tentative="1">
      <w:start w:val="1"/>
      <w:numFmt w:val="bullet"/>
      <w:lvlText w:val="•"/>
      <w:lvlJc w:val="left"/>
      <w:pPr>
        <w:tabs>
          <w:tab w:val="num" w:pos="4320"/>
        </w:tabs>
        <w:ind w:left="4320" w:hanging="360"/>
      </w:pPr>
      <w:rPr>
        <w:rFonts w:ascii="Arial" w:hAnsi="Arial" w:hint="default"/>
      </w:rPr>
    </w:lvl>
    <w:lvl w:ilvl="6" w:tplc="A53690CE" w:tentative="1">
      <w:start w:val="1"/>
      <w:numFmt w:val="bullet"/>
      <w:lvlText w:val="•"/>
      <w:lvlJc w:val="left"/>
      <w:pPr>
        <w:tabs>
          <w:tab w:val="num" w:pos="5040"/>
        </w:tabs>
        <w:ind w:left="5040" w:hanging="360"/>
      </w:pPr>
      <w:rPr>
        <w:rFonts w:ascii="Arial" w:hAnsi="Arial" w:hint="default"/>
      </w:rPr>
    </w:lvl>
    <w:lvl w:ilvl="7" w:tplc="9D400B26" w:tentative="1">
      <w:start w:val="1"/>
      <w:numFmt w:val="bullet"/>
      <w:lvlText w:val="•"/>
      <w:lvlJc w:val="left"/>
      <w:pPr>
        <w:tabs>
          <w:tab w:val="num" w:pos="5760"/>
        </w:tabs>
        <w:ind w:left="5760" w:hanging="360"/>
      </w:pPr>
      <w:rPr>
        <w:rFonts w:ascii="Arial" w:hAnsi="Arial" w:hint="default"/>
      </w:rPr>
    </w:lvl>
    <w:lvl w:ilvl="8" w:tplc="2FDA333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3B92E0A"/>
    <w:multiLevelType w:val="hybridMultilevel"/>
    <w:tmpl w:val="FCAAB608"/>
    <w:lvl w:ilvl="0" w:tplc="F6FA7C6C">
      <w:start w:val="1"/>
      <w:numFmt w:val="bullet"/>
      <w:lvlText w:val="•"/>
      <w:lvlJc w:val="left"/>
      <w:pPr>
        <w:tabs>
          <w:tab w:val="num" w:pos="720"/>
        </w:tabs>
        <w:ind w:left="720" w:hanging="360"/>
      </w:pPr>
      <w:rPr>
        <w:rFonts w:ascii="Arial" w:hAnsi="Arial" w:hint="default"/>
      </w:rPr>
    </w:lvl>
    <w:lvl w:ilvl="1" w:tplc="C55017BC" w:tentative="1">
      <w:start w:val="1"/>
      <w:numFmt w:val="bullet"/>
      <w:lvlText w:val="•"/>
      <w:lvlJc w:val="left"/>
      <w:pPr>
        <w:tabs>
          <w:tab w:val="num" w:pos="1440"/>
        </w:tabs>
        <w:ind w:left="1440" w:hanging="360"/>
      </w:pPr>
      <w:rPr>
        <w:rFonts w:ascii="Arial" w:hAnsi="Arial" w:hint="default"/>
      </w:rPr>
    </w:lvl>
    <w:lvl w:ilvl="2" w:tplc="E474FD06" w:tentative="1">
      <w:start w:val="1"/>
      <w:numFmt w:val="bullet"/>
      <w:lvlText w:val="•"/>
      <w:lvlJc w:val="left"/>
      <w:pPr>
        <w:tabs>
          <w:tab w:val="num" w:pos="2160"/>
        </w:tabs>
        <w:ind w:left="2160" w:hanging="360"/>
      </w:pPr>
      <w:rPr>
        <w:rFonts w:ascii="Arial" w:hAnsi="Arial" w:hint="default"/>
      </w:rPr>
    </w:lvl>
    <w:lvl w:ilvl="3" w:tplc="6D40B35A" w:tentative="1">
      <w:start w:val="1"/>
      <w:numFmt w:val="bullet"/>
      <w:lvlText w:val="•"/>
      <w:lvlJc w:val="left"/>
      <w:pPr>
        <w:tabs>
          <w:tab w:val="num" w:pos="2880"/>
        </w:tabs>
        <w:ind w:left="2880" w:hanging="360"/>
      </w:pPr>
      <w:rPr>
        <w:rFonts w:ascii="Arial" w:hAnsi="Arial" w:hint="default"/>
      </w:rPr>
    </w:lvl>
    <w:lvl w:ilvl="4" w:tplc="203CF278" w:tentative="1">
      <w:start w:val="1"/>
      <w:numFmt w:val="bullet"/>
      <w:lvlText w:val="•"/>
      <w:lvlJc w:val="left"/>
      <w:pPr>
        <w:tabs>
          <w:tab w:val="num" w:pos="3600"/>
        </w:tabs>
        <w:ind w:left="3600" w:hanging="360"/>
      </w:pPr>
      <w:rPr>
        <w:rFonts w:ascii="Arial" w:hAnsi="Arial" w:hint="default"/>
      </w:rPr>
    </w:lvl>
    <w:lvl w:ilvl="5" w:tplc="A5BEE80E" w:tentative="1">
      <w:start w:val="1"/>
      <w:numFmt w:val="bullet"/>
      <w:lvlText w:val="•"/>
      <w:lvlJc w:val="left"/>
      <w:pPr>
        <w:tabs>
          <w:tab w:val="num" w:pos="4320"/>
        </w:tabs>
        <w:ind w:left="4320" w:hanging="360"/>
      </w:pPr>
      <w:rPr>
        <w:rFonts w:ascii="Arial" w:hAnsi="Arial" w:hint="default"/>
      </w:rPr>
    </w:lvl>
    <w:lvl w:ilvl="6" w:tplc="0CC08FCC" w:tentative="1">
      <w:start w:val="1"/>
      <w:numFmt w:val="bullet"/>
      <w:lvlText w:val="•"/>
      <w:lvlJc w:val="left"/>
      <w:pPr>
        <w:tabs>
          <w:tab w:val="num" w:pos="5040"/>
        </w:tabs>
        <w:ind w:left="5040" w:hanging="360"/>
      </w:pPr>
      <w:rPr>
        <w:rFonts w:ascii="Arial" w:hAnsi="Arial" w:hint="default"/>
      </w:rPr>
    </w:lvl>
    <w:lvl w:ilvl="7" w:tplc="17740176" w:tentative="1">
      <w:start w:val="1"/>
      <w:numFmt w:val="bullet"/>
      <w:lvlText w:val="•"/>
      <w:lvlJc w:val="left"/>
      <w:pPr>
        <w:tabs>
          <w:tab w:val="num" w:pos="5760"/>
        </w:tabs>
        <w:ind w:left="5760" w:hanging="360"/>
      </w:pPr>
      <w:rPr>
        <w:rFonts w:ascii="Arial" w:hAnsi="Arial" w:hint="default"/>
      </w:rPr>
    </w:lvl>
    <w:lvl w:ilvl="8" w:tplc="6F54485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C2F"/>
    <w:rsid w:val="001606DB"/>
    <w:rsid w:val="001F5E6C"/>
    <w:rsid w:val="002002E1"/>
    <w:rsid w:val="00330C2F"/>
    <w:rsid w:val="003525F2"/>
    <w:rsid w:val="003B5C40"/>
    <w:rsid w:val="004021D7"/>
    <w:rsid w:val="00453404"/>
    <w:rsid w:val="00601D9B"/>
    <w:rsid w:val="0062620A"/>
    <w:rsid w:val="00866CCE"/>
    <w:rsid w:val="009D7517"/>
    <w:rsid w:val="00A41C6B"/>
    <w:rsid w:val="00D50207"/>
    <w:rsid w:val="00E546BD"/>
    <w:rsid w:val="00ED3194"/>
    <w:rsid w:val="00F814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048A6"/>
  <w15:docId w15:val="{91C64246-90FF-48A2-9987-73DE681AF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0C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C2F"/>
    <w:rPr>
      <w:rFonts w:ascii="Tahoma" w:hAnsi="Tahoma" w:cs="Tahoma"/>
      <w:sz w:val="16"/>
      <w:szCs w:val="16"/>
    </w:rPr>
  </w:style>
  <w:style w:type="paragraph" w:styleId="ListParagraph">
    <w:name w:val="List Paragraph"/>
    <w:basedOn w:val="Normal"/>
    <w:uiPriority w:val="34"/>
    <w:qFormat/>
    <w:rsid w:val="00A41C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184306">
      <w:bodyDiv w:val="1"/>
      <w:marLeft w:val="0"/>
      <w:marRight w:val="0"/>
      <w:marTop w:val="0"/>
      <w:marBottom w:val="0"/>
      <w:divBdr>
        <w:top w:val="none" w:sz="0" w:space="0" w:color="auto"/>
        <w:left w:val="none" w:sz="0" w:space="0" w:color="auto"/>
        <w:bottom w:val="none" w:sz="0" w:space="0" w:color="auto"/>
        <w:right w:val="none" w:sz="0" w:space="0" w:color="auto"/>
      </w:divBdr>
      <w:divsChild>
        <w:div w:id="2120253323">
          <w:marLeft w:val="446"/>
          <w:marRight w:val="0"/>
          <w:marTop w:val="0"/>
          <w:marBottom w:val="0"/>
          <w:divBdr>
            <w:top w:val="none" w:sz="0" w:space="0" w:color="auto"/>
            <w:left w:val="none" w:sz="0" w:space="0" w:color="auto"/>
            <w:bottom w:val="none" w:sz="0" w:space="0" w:color="auto"/>
            <w:right w:val="none" w:sz="0" w:space="0" w:color="auto"/>
          </w:divBdr>
        </w:div>
        <w:div w:id="475227039">
          <w:marLeft w:val="446"/>
          <w:marRight w:val="0"/>
          <w:marTop w:val="0"/>
          <w:marBottom w:val="0"/>
          <w:divBdr>
            <w:top w:val="none" w:sz="0" w:space="0" w:color="auto"/>
            <w:left w:val="none" w:sz="0" w:space="0" w:color="auto"/>
            <w:bottom w:val="none" w:sz="0" w:space="0" w:color="auto"/>
            <w:right w:val="none" w:sz="0" w:space="0" w:color="auto"/>
          </w:divBdr>
        </w:div>
        <w:div w:id="1996714310">
          <w:marLeft w:val="446"/>
          <w:marRight w:val="0"/>
          <w:marTop w:val="0"/>
          <w:marBottom w:val="0"/>
          <w:divBdr>
            <w:top w:val="none" w:sz="0" w:space="0" w:color="auto"/>
            <w:left w:val="none" w:sz="0" w:space="0" w:color="auto"/>
            <w:bottom w:val="none" w:sz="0" w:space="0" w:color="auto"/>
            <w:right w:val="none" w:sz="0" w:space="0" w:color="auto"/>
          </w:divBdr>
        </w:div>
        <w:div w:id="597177510">
          <w:marLeft w:val="446"/>
          <w:marRight w:val="0"/>
          <w:marTop w:val="0"/>
          <w:marBottom w:val="0"/>
          <w:divBdr>
            <w:top w:val="none" w:sz="0" w:space="0" w:color="auto"/>
            <w:left w:val="none" w:sz="0" w:space="0" w:color="auto"/>
            <w:bottom w:val="none" w:sz="0" w:space="0" w:color="auto"/>
            <w:right w:val="none" w:sz="0" w:space="0" w:color="auto"/>
          </w:divBdr>
        </w:div>
        <w:div w:id="1395857361">
          <w:marLeft w:val="446"/>
          <w:marRight w:val="0"/>
          <w:marTop w:val="0"/>
          <w:marBottom w:val="0"/>
          <w:divBdr>
            <w:top w:val="none" w:sz="0" w:space="0" w:color="auto"/>
            <w:left w:val="none" w:sz="0" w:space="0" w:color="auto"/>
            <w:bottom w:val="none" w:sz="0" w:space="0" w:color="auto"/>
            <w:right w:val="none" w:sz="0" w:space="0" w:color="auto"/>
          </w:divBdr>
        </w:div>
        <w:div w:id="850412212">
          <w:marLeft w:val="446"/>
          <w:marRight w:val="0"/>
          <w:marTop w:val="0"/>
          <w:marBottom w:val="0"/>
          <w:divBdr>
            <w:top w:val="none" w:sz="0" w:space="0" w:color="auto"/>
            <w:left w:val="none" w:sz="0" w:space="0" w:color="auto"/>
            <w:bottom w:val="none" w:sz="0" w:space="0" w:color="auto"/>
            <w:right w:val="none" w:sz="0" w:space="0" w:color="auto"/>
          </w:divBdr>
        </w:div>
      </w:divsChild>
    </w:div>
    <w:div w:id="83749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E969B-1A5B-465C-A2B9-F9ADA7150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2</Pages>
  <Words>366</Words>
  <Characters>2089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Portsmouth</Company>
  <LinksUpToDate>false</LinksUpToDate>
  <CharactersWithSpaces>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Schubert</dc:creator>
  <cp:keywords/>
  <dc:description/>
  <cp:lastModifiedBy>Max Blanck</cp:lastModifiedBy>
  <cp:revision>7</cp:revision>
  <dcterms:created xsi:type="dcterms:W3CDTF">2020-11-29T11:16:00Z</dcterms:created>
  <dcterms:modified xsi:type="dcterms:W3CDTF">2020-11-29T14:54:00Z</dcterms:modified>
</cp:coreProperties>
</file>