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A9D98" w14:textId="77777777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/>
          <w:bCs/>
          <w:color w:val="000000"/>
          <w:lang w:eastAsia="en-GB"/>
        </w:rPr>
      </w:pPr>
      <w:r>
        <w:rPr>
          <w:rStyle w:val="normaltextrun"/>
          <w:rFonts w:ascii="Calibri" w:hAnsi="Calibri" w:cs="Calibri"/>
          <w:b/>
          <w:bCs/>
          <w:color w:val="000000"/>
          <w:bdr w:val="none" w:sz="0" w:space="0" w:color="auto" w:frame="1"/>
        </w:rPr>
        <w:t>Title: Development of an iPSC loaded biomimetic scaffold for spinal cord applications</w:t>
      </w:r>
    </w:p>
    <w:p w14:paraId="1A9CB72C" w14:textId="77777777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/>
          <w:color w:val="000000"/>
          <w:lang w:eastAsia="en-GB"/>
        </w:rPr>
      </w:pPr>
    </w:p>
    <w:p w14:paraId="092BDC7E" w14:textId="77777777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 xml:space="preserve">Following spinal cord injury, a lesion cavity forms preventing axonal regrowth and despite the ongoing development of cell-replacement therapies, repair remains a challenge. Therapeutic biomaterial scaffold implants that mimic the properties of the spinal cord and can bridge the cavity with a supportive environment while delivering cells to support axons may have potential. Therefore, this PhD aimed to identify growth-promoting extracellular-matrix proteins and incorporate them into scaffold implants with cord-matched physicochemical properties. By optimizing scaffold stiffness and matrix-composition, it was hypothesized that a scaffold platform that could support neurons, astrocytes, and trophic induced pluripotent stem cell (iPSC) derived-progenitors could be developed to promote cord repair. Extensive screening of cord native extracellular-matrix proteins revealed a combination of collagen-IV (CIV) and fibronectin (FN) best enhanced neuronal and astrocyte outgrowth. Next, hyaluronic acid scaffolds functionalized with Coll-IV/FN were manufactured with differing stiffness’s from soft/biomimetic to stiff/supra-physiological (0.8-3.5kPa). Astrocytes cultured in soft but not stiffer CIV/FN scaffolds exhibited stellate morphologies and upregulated the anti-inflammatory cytokine, IL-10. Furthermore, soft Coll-IV/FN scaffolds also promoted iPSC-progenitor cell growth into large cellular spheroids. Media taken from soft CIV/FN scaffold-containing iPSC-progenitors and applied to spinal cord neurons, significantly enhanced neurite outgrowth. Finally, when dorsal root ganglia (DRG) explants were cultured on CIV/FN iPSC-loaded scaffolds up to 21 days, only soft scaffolds directed axonal outgrowth between DRG and iPSC-spheroids (Figure 1). Overall, this work shows the successful development of a novel biomimetic scaffold that when combined with iPSC-progenitors has significant therapeutic potential for spinal cord repair. </w:t>
      </w:r>
    </w:p>
    <w:p w14:paraId="72B68884" w14:textId="77777777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ascii="Calibri" w:eastAsia="Times New Roman" w:hAnsi="Calibri" w:cs="Arial"/>
          <w:bCs/>
          <w:color w:val="000000"/>
          <w:lang w:eastAsia="en-GB"/>
        </w:rPr>
      </w:pPr>
    </w:p>
    <w:p w14:paraId="5FA01960" w14:textId="77777777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ascii="Calibri" w:eastAsia="Times New Roman" w:hAnsi="Calibri" w:cs="Arial"/>
          <w:color w:val="000000"/>
          <w:lang w:val="en-US"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 xml:space="preserve">This work also received funding from the IRFU Charitable Trust and the SFI-AMBER Centre and has been published in </w:t>
      </w:r>
      <w:r>
        <w:rPr>
          <w:rFonts w:ascii="Calibri" w:eastAsia="Times New Roman" w:hAnsi="Calibri" w:cs="Arial"/>
          <w:i/>
          <w:color w:val="000000"/>
          <w:lang w:val="en-US" w:eastAsia="en-GB"/>
        </w:rPr>
        <w:t>Advanced Healthcare Materials</w:t>
      </w:r>
      <w:r>
        <w:rPr>
          <w:rFonts w:ascii="Calibri" w:eastAsia="Times New Roman" w:hAnsi="Calibri" w:cs="Arial"/>
          <w:color w:val="000000"/>
          <w:lang w:val="en-US" w:eastAsia="en-GB"/>
        </w:rPr>
        <w:t xml:space="preserve"> </w:t>
      </w:r>
      <w:hyperlink r:id="rId4" w:history="1">
        <w:r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https://doi.org/10.1002/adhm.202101663</w:t>
        </w:r>
      </w:hyperlink>
    </w:p>
    <w:p w14:paraId="1BFA6798" w14:textId="77777777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70650563" w14:textId="51169D14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center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noProof/>
          <w:lang w:val="en-IE" w:eastAsia="en-IE"/>
        </w:rPr>
        <w:drawing>
          <wp:inline distT="0" distB="0" distL="0" distR="0" wp14:anchorId="26A89198" wp14:editId="09EC80D2">
            <wp:extent cx="3409950" cy="3402965"/>
            <wp:effectExtent l="0" t="0" r="0" b="6985"/>
            <wp:docPr id="643978775" name="Picture 1" descr="Colorful glowing cells in a micr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78775" name="Picture 1" descr="Colorful glowing cells in a microsco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98A1" w14:textId="77777777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center"/>
        <w:rPr>
          <w:rFonts w:ascii="Calibri" w:eastAsia="Times New Roman" w:hAnsi="Calibri" w:cs="Arial"/>
          <w:bCs/>
          <w:color w:val="000000"/>
          <w:lang w:eastAsia="en-GB"/>
        </w:rPr>
      </w:pPr>
    </w:p>
    <w:p w14:paraId="22C84776" w14:textId="77777777" w:rsidR="00045312" w:rsidRDefault="00045312" w:rsidP="00045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ascii="Calibri" w:eastAsia="Times New Roman" w:hAnsi="Calibri" w:cs="Arial"/>
          <w:bCs/>
          <w:color w:val="000000"/>
          <w:sz w:val="18"/>
          <w:szCs w:val="18"/>
          <w:lang w:eastAsia="en-GB"/>
        </w:rPr>
      </w:pPr>
      <w:r>
        <w:rPr>
          <w:rFonts w:ascii="Calibri" w:eastAsia="Times New Roman" w:hAnsi="Calibri" w:cs="Arial"/>
          <w:b/>
          <w:color w:val="000000"/>
          <w:sz w:val="18"/>
          <w:szCs w:val="18"/>
          <w:lang w:eastAsia="en-GB"/>
        </w:rPr>
        <w:t xml:space="preserve">Figure 1. </w:t>
      </w:r>
      <w:r>
        <w:rPr>
          <w:rFonts w:ascii="Calibri" w:eastAsia="Times New Roman" w:hAnsi="Calibri" w:cs="Arial"/>
          <w:bCs/>
          <w:color w:val="000000"/>
          <w:sz w:val="18"/>
          <w:szCs w:val="18"/>
          <w:lang w:eastAsia="en-GB"/>
        </w:rPr>
        <w:t>Biomaterial implants mimicking the structure of the spinal cord allow patient derived stem cell spheres (top-right) to connect with damaged nerves (bottom-left), replacing lost neural tissue. The biomaterial that these cells reside within supports the formation of neurites (green) across a bridge of supportive cells (red) offering new hope as a cell replacement strategy for spinal cord repair.</w:t>
      </w:r>
    </w:p>
    <w:p w14:paraId="786A2DCA" w14:textId="3070E1F8" w:rsidR="00045312" w:rsidRPr="00045312" w:rsidRDefault="00045312" w:rsidP="00045312">
      <w:pPr>
        <w:suppressAutoHyphens/>
        <w:spacing w:after="0" w:line="240" w:lineRule="auto"/>
        <w:rPr>
          <w:rFonts w:ascii="Calibri" w:eastAsia="Times New Roman" w:hAnsi="Calibri" w:cs="Arial"/>
          <w:bCs/>
          <w:i/>
          <w:iCs/>
          <w:color w:val="000000"/>
          <w:sz w:val="18"/>
          <w:szCs w:val="18"/>
          <w:lang w:eastAsia="en-GB"/>
        </w:rPr>
      </w:pPr>
      <w:r w:rsidRPr="00045312">
        <w:rPr>
          <w:rFonts w:ascii="Calibri" w:eastAsia="Times New Roman" w:hAnsi="Calibri" w:cs="Arial"/>
          <w:bCs/>
          <w:i/>
          <w:iCs/>
          <w:color w:val="000000"/>
          <w:sz w:val="18"/>
          <w:szCs w:val="18"/>
          <w:lang w:eastAsia="en-GB"/>
        </w:rPr>
        <w:t>File: O’Brien and O</w:t>
      </w:r>
      <w:r w:rsidR="008E446E">
        <w:rPr>
          <w:rFonts w:ascii="Calibri" w:eastAsia="Times New Roman" w:hAnsi="Calibri" w:cs="Arial"/>
          <w:bCs/>
          <w:i/>
          <w:iCs/>
          <w:color w:val="000000"/>
          <w:sz w:val="18"/>
          <w:szCs w:val="18"/>
          <w:lang w:eastAsia="en-GB"/>
        </w:rPr>
        <w:t>’C</w:t>
      </w:r>
      <w:r w:rsidRPr="00045312">
        <w:rPr>
          <w:rFonts w:ascii="Calibri" w:eastAsia="Times New Roman" w:hAnsi="Calibri" w:cs="Arial"/>
          <w:bCs/>
          <w:i/>
          <w:iCs/>
          <w:color w:val="000000"/>
          <w:sz w:val="18"/>
          <w:szCs w:val="18"/>
          <w:lang w:eastAsia="en-GB"/>
        </w:rPr>
        <w:t>onnor Updated PR_ Uploaded 190923</w:t>
      </w:r>
    </w:p>
    <w:sectPr w:rsidR="00045312" w:rsidRPr="000453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312"/>
    <w:rsid w:val="00045312"/>
    <w:rsid w:val="003907F8"/>
    <w:rsid w:val="00403A20"/>
    <w:rsid w:val="008E446E"/>
    <w:rsid w:val="00B3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C0D82"/>
  <w15:chartTrackingRefBased/>
  <w15:docId w15:val="{DDDD5A4E-CA8F-4223-BBA2-4926E869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312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5312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045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oi.org/10.1002/adhm.2021016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2329</Characters>
  <Application>Microsoft Office Word</Application>
  <DocSecurity>0</DocSecurity>
  <Lines>19</Lines>
  <Paragraphs>5</Paragraphs>
  <ScaleCrop>false</ScaleCrop>
  <Company>KCL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Piggott</dc:creator>
  <cp:keywords/>
  <dc:description/>
  <cp:lastModifiedBy>Mary-Anne Piggott</cp:lastModifiedBy>
  <cp:revision>2</cp:revision>
  <cp:lastPrinted>2023-09-19T12:46:00Z</cp:lastPrinted>
  <dcterms:created xsi:type="dcterms:W3CDTF">2023-09-19T12:46:00Z</dcterms:created>
  <dcterms:modified xsi:type="dcterms:W3CDTF">2023-09-19T12:46:00Z</dcterms:modified>
</cp:coreProperties>
</file>